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321.0" w:type="dxa"/>
        <w:jc w:val="center"/>
        <w:tblLayout w:type="fixed"/>
        <w:tblLook w:val="0000"/>
      </w:tblPr>
      <w:tblGrid>
        <w:gridCol w:w="2254"/>
        <w:gridCol w:w="2410"/>
        <w:gridCol w:w="5657"/>
        <w:tblGridChange w:id="0">
          <w:tblGrid>
            <w:gridCol w:w="2254"/>
            <w:gridCol w:w="2410"/>
            <w:gridCol w:w="5657"/>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w:t>
            </w:r>
            <w:r w:rsidDel="00000000" w:rsidR="00000000" w:rsidRPr="00000000">
              <w:rPr>
                <w:rFonts w:ascii="Arial" w:cs="Arial" w:eastAsia="Arial" w:hAnsi="Arial"/>
                <w:b w:val="1"/>
                <w:bCs w:val="1"/>
                <w:rtl w:val="0"/>
              </w:rPr>
              <w:t xml:space="preserve">UNIDAD DE APOYO A LA GESTIÓN</w:t>
            </w:r>
            <w:r w:rsidDel="00000000" w:rsidR="00000000" w:rsidRPr="00000000">
              <w:rPr>
                <w:rFonts w:ascii="Arial" w:cs="Arial" w:eastAsia="Arial" w:hAnsi="Arial"/>
                <w:b w:val="1"/>
                <w:bCs w:val="1"/>
                <w:color w:val="000000"/>
                <w:rtl w:val="0"/>
              </w:rPr>
              <w:t xml:space="preserve">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4095.0" w:type="dxa"/>
              <w:jc w:val="left"/>
              <w:tblBorders>
                <w:top w:color="000000" w:space="0" w:sz="0" w:val="nil"/>
                <w:left w:color="000000" w:space="0" w:sz="0" w:val="nil"/>
                <w:bottom w:color="000000" w:space="0" w:sz="0" w:val="nil"/>
                <w:right w:color="000000" w:space="0" w:sz="0" w:val="nil"/>
              </w:tblBorders>
              <w:tblLayout w:type="fixed"/>
              <w:tblLook w:val="0000"/>
            </w:tblPr>
            <w:tblGrid>
              <w:gridCol w:w="4095"/>
              <w:tblGridChange w:id="0">
                <w:tblGrid>
                  <w:gridCol w:w="4095"/>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widowControl w:val="1"/>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rPr>
                <w:rFonts w:ascii="Arial" w:cs="Arial" w:eastAsia="Arial" w:hAnsi="Arial"/>
                <w:color w:val="000000"/>
              </w:rPr>
            </w:pPr>
            <w:r w:rsidDel="00000000" w:rsidR="00000000" w:rsidRPr="00000000">
              <w:rPr>
                <w:rFonts w:ascii="Arial" w:cs="Arial" w:eastAsia="Arial" w:hAnsi="Arial"/>
                <w:rtl w:val="0"/>
              </w:rPr>
              <w:t xml:space="preserve">4162.010.26.1.5410-2025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keepNext w:val="1"/>
              <w:widowControl w:val="1"/>
              <w:tabs>
                <w:tab w:val="left" w:leader="none" w:pos="4253"/>
                <w:tab w:val="left" w:leader="none" w:pos="4962"/>
              </w:tabs>
              <w:rPr>
                <w:rFonts w:ascii="Arial" w:cs="Arial" w:eastAsia="Arial" w:hAnsi="Arial"/>
                <w:color w:val="000000"/>
              </w:rPr>
            </w:pPr>
            <w:r w:rsidDel="00000000" w:rsidR="00000000" w:rsidRPr="00000000">
              <w:rPr>
                <w:rFonts w:ascii="Arial" w:cs="Arial" w:eastAsia="Arial" w:hAnsi="Arial"/>
                <w:rtl w:val="0"/>
              </w:rPr>
              <w:t xml:space="preserve">Krysthian David Ramírez Munevar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Juan Felipe Delgado Rodríguez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1.1.44.163.352</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$3.414.000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rPr>
                <w:rFonts w:ascii="Arial" w:cs="Arial" w:eastAsia="Arial" w:hAnsi="Arial"/>
                <w:color w:val="000000"/>
              </w:rPr>
            </w:pPr>
            <w:r w:rsidDel="00000000" w:rsidR="00000000" w:rsidRPr="00000000">
              <w:rPr>
                <w:rFonts w:ascii="Arial" w:cs="Arial" w:eastAsia="Arial" w:hAnsi="Arial"/>
                <w:rtl w:val="0"/>
              </w:rPr>
              <w:t xml:space="preserve">1077773719</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rPr>
                <w:rFonts w:ascii="Arial" w:cs="Arial" w:eastAsia="Arial" w:hAnsi="Arial"/>
                <w:color w:val="000000"/>
              </w:rPr>
            </w:pPr>
            <w:r w:rsidDel="00000000" w:rsidR="00000000" w:rsidRPr="00000000">
              <w:rPr>
                <w:rFonts w:ascii="Arial" w:cs="Arial" w:eastAsia="Arial" w:hAnsi="Arial"/>
                <w:rtl w:val="0"/>
              </w:rPr>
              <w:t xml:space="preserve">8823295069</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 SA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06/12/2025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Noviembre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03</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1. Desarrollar el proceso integral de producción de contenidos audiovisuales de las actividades, programas y eventos de la SDR, incluyendo planeación, registro en campo, captura de material bruto, depuración, organización, producción y entrega de piezas finales ajustadas a lineamientos institucionales.</w:t>
            </w:r>
          </w:p>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2. Editar contenidos audiovisuales de actividades, programas y eventos de la SDR.</w:t>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3. Realizar toma fotográfica de actividades, programas y eventos de la SDR.</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4. Cubrir eventos y actividades de la SDR.</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2">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3">
            <w:pPr>
              <w:widowControl w:val="1"/>
              <w:rPr>
                <w:rFonts w:ascii="Arial" w:cs="Arial" w:eastAsia="Arial" w:hAnsi="Arial"/>
              </w:rPr>
            </w:pPr>
            <w:r w:rsidDel="00000000" w:rsidR="00000000" w:rsidRPr="00000000">
              <w:rPr>
                <w:rFonts w:ascii="Arial" w:cs="Arial" w:eastAsia="Arial" w:hAnsi="Arial"/>
                <w:rtl w:val="0"/>
              </w:rPr>
              <w:t xml:space="preserve">5. Realizar guiones y planeación de productos de las actividades, programas y eventos de la SDR. </w:t>
            </w:r>
          </w:p>
          <w:p w:rsidR="00000000" w:rsidDel="00000000" w:rsidP="00000000" w:rsidRDefault="00000000" w:rsidRPr="00000000" w14:paraId="00000074">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5">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6">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7">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8">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9">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A">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B">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C">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D">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E">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F">
            <w:pPr>
              <w:widowControl w:val="1"/>
              <w:rPr>
                <w:rFonts w:ascii="Arial" w:cs="Arial" w:eastAsia="Arial" w:hAnsi="Arial"/>
              </w:rPr>
            </w:pPr>
            <w:r w:rsidDel="00000000" w:rsidR="00000000" w:rsidRPr="00000000">
              <w:rPr>
                <w:rFonts w:ascii="Arial" w:cs="Arial" w:eastAsia="Arial" w:hAnsi="Arial"/>
                <w:rtl w:val="0"/>
              </w:rPr>
              <w:t xml:space="preserve">6. Asistir a las reuniones de planeación o consejos de redacción que dirija la líder de comunicaciones.</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1. Realicé el proceso integral de producción de contenidos audiovisuales para las actividades estratégicas de la Secretaría del Deporte, desde la planeación hasta la entrega de piezas finales. Desarrollé la estrategia “Antes y Después” en el Polideportivo Ciudad 2000, articulando acciones con el equipo de diseño y los técnicos de infraestructura. Apoyé la consolidación de paquetes de imágenes que evidencian los resultados del proyecto Invertir para Crecer. Coordiné el registro fotográfico y audiovisual para la promoción de las carreras institucionales en articulación con el diario El Tiempo. Verifiqué que todos los productos cumplieran con los lineamientos técnicos e institucionales vigentes.</w:t>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2. Realicé la grabación y edición de contenidos audiovisuales para la fase final de los Juegos Intercolegiados, garantizando piezas dinámicas y de alto impacto. Produje material audiovisual para la promoción de la Ciclovida en el oriente de Cali, específicamente en la estación Morichal. Apoyé la corrección de color, la selección de planos y el ajuste de ritmos narrativos para optimizar el contenido. Organicé los archivos fuente y los proyectos de edición para asegurar trazabilidad y respaldo. Entregué productos listos para su publicación en plataformas digitales.</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3. Realicé el registro fotográfico profesional de las finales del KIA Open WTA 125 Santiago de Cali, documentando momentos deportivos de alto nivel. Capturé imágenes representativas de los partidos finales del Abierto de Tenis, priorizando calidad técnica y narrativa visual. Apoyé la clasificación y curaduría del material para su uso en redes sociales y memoria institucional. Organicé los archivos en repositorios digitales institucionales para fácil acceso. Aseguré el cumplimiento de los estándares de imagen de la Secretaría.</w:t>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4. Realicé el cubrimiento periodístico de la jornada de Ciclovida en las Canchas Panamericanas, generando contenido oportuno y atractivo. Produje material audiovisual para el producto “Postales de la Carrera Río Run 5K”, destacando la experiencia de los participantes. Apoyé la coordinación logística con los equipos de terreno para garantizar un registro fluido y ordenado. Seleccioné los momentos más representativos para fortalecer la narrativa visual de cada jornada. Consolidé entregables ajustados a las necesidades de difusión institucional</w:t>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5. Realicé la elaboración de guiones estratégicos para productos audiovisuales orientados a la rendición de cuentas de la Secretaría. Desarrollé el guion del video de balance 2025 de la Subsecretaría de Infraestructura, estructurando logros, cifras y mensajes clave. Apoyé la construcción del guion para la jornada de Ciclovida en la estación Morichal, comuna 15. Organicé la planeación técnica y narrativa de los contenidos para optimizar los tiempos de producción. Verifiqué la coherencia de los mensajes con los lineamientos de comunicación institucional.</w:t>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6. Asistí a los consejos de redacción enfocados en la planificación de contenidos estratégicos. Participé en la definición de proyectos y videos que evidenciarán la gestión de la Secretaría del Deporte durante el año 2025. Apoyé la priorización de temas, cronogramas y líneas narrativas para los productos audiovisuales. Contribuí con sugerencias técnicas desde el enfoque audiovisual para fortalecer la calidad de las piezas finales. Fortalecí el trabajo articulado entre las diferentes áreas de la dependencia.</w:t>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6">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Las evidencias de lo relacionado se encuentran en el siguiente link: </w:t>
            </w:r>
            <w:hyperlink r:id="rId7">
              <w:r w:rsidDel="00000000" w:rsidR="00000000" w:rsidRPr="00000000">
                <w:rPr>
                  <w:rFonts w:ascii="Arial" w:cs="Arial" w:eastAsia="Arial" w:hAnsi="Arial"/>
                  <w:color w:val="0563c1"/>
                  <w:u w:val="single"/>
                  <w:rtl w:val="0"/>
                </w:rPr>
                <w:t xml:space="preserve">https://drive.google.com/drive/folders/14wHXTFYx_LobmN79w2lcKAE9t9koQnOo?usp=drive_link</w:t>
              </w:r>
            </w:hyperlink>
            <w:r w:rsidDel="00000000" w:rsidR="00000000" w:rsidRPr="00000000">
              <w:rPr>
                <w:rFonts w:ascii="Arial" w:cs="Arial" w:eastAsia="Arial" w:hAnsi="Arial"/>
                <w:color w:val="000000"/>
                <w:rtl w:val="0"/>
              </w:rPr>
              <w:t xml:space="preserve"> </w:t>
            </w:r>
            <w:r w:rsidDel="00000000" w:rsidR="00000000" w:rsidRPr="00000000">
              <w:rPr>
                <w:rtl w:val="0"/>
              </w:rPr>
            </w:r>
          </w:p>
        </w:tc>
      </w:tr>
      <w:tr>
        <w:trPr>
          <w:cantSplit w:val="0"/>
          <w:trHeight w:val="67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96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73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Fonts w:ascii="Arial" w:cs="Arial" w:eastAsia="Arial" w:hAnsi="Arial"/>
                <w:sz w:val="22"/>
                <w:szCs w:val="22"/>
                <w:rtl w:val="0"/>
              </w:rPr>
              <w:t xml:space="preserve">19</w:t>
            </w:r>
            <w:r w:rsidDel="00000000" w:rsidR="00000000" w:rsidRPr="00000000">
              <w:rPr>
                <w:rFonts w:ascii="Arial" w:cs="Arial" w:eastAsia="Arial" w:hAnsi="Arial"/>
                <w:color w:val="000000"/>
                <w:sz w:val="22"/>
                <w:szCs w:val="22"/>
                <w:rtl w:val="0"/>
              </w:rPr>
              <w:t xml:space="preserve">/dici</w:t>
            </w:r>
            <w:r w:rsidDel="00000000" w:rsidR="00000000" w:rsidRPr="00000000">
              <w:rPr>
                <w:rFonts w:ascii="Arial" w:cs="Arial" w:eastAsia="Arial" w:hAnsi="Arial"/>
                <w:sz w:val="22"/>
                <w:szCs w:val="22"/>
                <w:rtl w:val="0"/>
              </w:rPr>
              <w:t xml:space="preserve">embre</w:t>
            </w:r>
            <w:r w:rsidDel="00000000" w:rsidR="00000000" w:rsidRPr="00000000">
              <w:rPr>
                <w:rFonts w:ascii="Arial" w:cs="Arial" w:eastAsia="Arial" w:hAnsi="Arial"/>
                <w:color w:val="000000"/>
                <w:sz w:val="22"/>
                <w:szCs w:val="22"/>
                <w:rtl w:val="0"/>
              </w:rPr>
              <w:t xml:space="preserve">/</w:t>
            </w:r>
            <w:r w:rsidDel="00000000" w:rsidR="00000000" w:rsidRPr="00000000">
              <w:rPr>
                <w:rFonts w:ascii="Arial" w:cs="Arial" w:eastAsia="Arial" w:hAnsi="Arial"/>
                <w:sz w:val="22"/>
                <w:szCs w:val="22"/>
                <w:rtl w:val="0"/>
              </w:rPr>
              <w:t xml:space="preserve">2025</w:t>
            </w:r>
            <w:r w:rsidDel="00000000" w:rsidR="00000000" w:rsidRPr="00000000">
              <w:rPr>
                <w:rtl w:val="0"/>
              </w:rPr>
            </w:r>
          </w:p>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bookmarkStart w:colFirst="0" w:colLast="0" w:name="_heading=h.5exv35ggu93z" w:id="0"/>
      <w:bookmarkEnd w:id="0"/>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100.0" w:type="dxa"/>
        <w:left w:w="100.0" w:type="dxa"/>
        <w:bottom w:w="100.0" w:type="dxa"/>
        <w:right w:w="100.0" w:type="dxa"/>
      </w:tblCellMar>
    </w:tblPr>
  </w:style>
  <w:style w:type="table" w:styleId="TableNormal4" w:customStyle="1">
    <w:name w:val="TableNormal"/>
    <w:tblPr>
      <w:tblCellMar>
        <w:top w:w="0.0" w:type="dxa"/>
        <w:left w:w="0.0" w:type="dxa"/>
        <w:bottom w:w="0.0" w:type="dxa"/>
        <w:right w:w="0.0" w:type="dxa"/>
      </w:tblCellMar>
    </w:tblPr>
  </w:style>
  <w:style w:type="table" w:styleId="TableNormal5"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table" w:styleId="a" w:customStyle="1">
    <w:basedOn w:val="TableNormal5"/>
    <w:tblPr>
      <w:tblStyleRowBandSize w:val="1"/>
      <w:tblStyleColBandSize w:val="1"/>
      <w:tblCellMar>
        <w:left w:w="22.0" w:type="dxa"/>
        <w:right w:w="22.0" w:type="dxa"/>
      </w:tblCellMar>
    </w:tblPr>
  </w:style>
  <w:style w:type="table" w:styleId="a0" w:customStyle="1">
    <w:basedOn w:val="TableNormal5"/>
    <w:tblPr>
      <w:tblStyleRowBandSize w:val="1"/>
      <w:tblStyleColBandSize w:val="1"/>
      <w:tblCellMar>
        <w:left w:w="115.0" w:type="dxa"/>
        <w:right w:w="115.0" w:type="dxa"/>
      </w:tblCellMar>
    </w:tblPr>
  </w:style>
  <w:style w:type="table" w:styleId="a1" w:customStyle="1">
    <w:basedOn w:val="TableNormal5"/>
    <w:tblPr>
      <w:tblStyleRowBandSize w:val="1"/>
      <w:tblStyleColBandSize w:val="1"/>
      <w:tblCellMar>
        <w:left w:w="22.0" w:type="dxa"/>
        <w:right w:w="22.0" w:type="dxa"/>
      </w:tblCellMar>
    </w:tblPr>
  </w:style>
  <w:style w:type="table" w:styleId="a2" w:customStyle="1">
    <w:basedOn w:val="TableNormal5"/>
    <w:tblPr>
      <w:tblStyleRowBandSize w:val="1"/>
      <w:tblStyleColBandSize w:val="1"/>
      <w:tblCellMar>
        <w:left w:w="115.0" w:type="dxa"/>
        <w:right w:w="115.0" w:type="dxa"/>
      </w:tblCellMar>
    </w:tblPr>
  </w:style>
  <w:style w:type="table" w:styleId="a3" w:customStyle="1">
    <w:basedOn w:val="TableNormal5"/>
    <w:tblPr>
      <w:tblStyleRowBandSize w:val="1"/>
      <w:tblStyleColBandSize w:val="1"/>
      <w:tblCellMar>
        <w:left w:w="22.0" w:type="dxa"/>
        <w:right w:w="22.0" w:type="dxa"/>
      </w:tblCellMar>
    </w:tblPr>
  </w:style>
  <w:style w:type="table" w:styleId="a4" w:customStyle="1">
    <w:basedOn w:val="TableNormal5"/>
    <w:tblPr>
      <w:tblStyleRowBandSize w:val="1"/>
      <w:tblStyleColBandSize w:val="1"/>
      <w:tblCellMar>
        <w:left w:w="115.0" w:type="dxa"/>
        <w:right w:w="115.0" w:type="dxa"/>
      </w:tblCellMar>
    </w:tblPr>
  </w:style>
  <w:style w:type="table" w:styleId="a5" w:customStyle="1">
    <w:basedOn w:val="TableNormal5"/>
    <w:tblPr>
      <w:tblStyleRowBandSize w:val="1"/>
      <w:tblStyleColBandSize w:val="1"/>
      <w:tblCellMar>
        <w:left w:w="22.0" w:type="dxa"/>
        <w:right w:w="22.0" w:type="dxa"/>
      </w:tblCellMar>
    </w:tblPr>
  </w:style>
  <w:style w:type="table" w:styleId="a6" w:customStyle="1">
    <w:basedOn w:val="TableNormal5"/>
    <w:tblPr>
      <w:tblStyleRowBandSize w:val="1"/>
      <w:tblStyleColBandSize w:val="1"/>
      <w:tblCellMar>
        <w:left w:w="115.0" w:type="dxa"/>
        <w:right w:w="115.0" w:type="dxa"/>
      </w:tblCellMar>
    </w:tblPr>
  </w:style>
  <w:style w:type="table" w:styleId="a7" w:customStyle="1">
    <w:basedOn w:val="TableNormal5"/>
    <w:tblPr>
      <w:tblStyleRowBandSize w:val="1"/>
      <w:tblStyleColBandSize w:val="1"/>
      <w:tblCellMar>
        <w:left w:w="22.0" w:type="dxa"/>
        <w:right w:w="22.0" w:type="dxa"/>
      </w:tblCellMar>
    </w:tblPr>
  </w:style>
  <w:style w:type="table" w:styleId="a8" w:customStyle="1">
    <w:basedOn w:val="TableNormal5"/>
    <w:tblPr>
      <w:tblStyleRowBandSize w:val="1"/>
      <w:tblStyleColBandSize w:val="1"/>
      <w:tblCellMar>
        <w:left w:w="115.0" w:type="dxa"/>
        <w:right w:w="115.0" w:type="dxa"/>
      </w:tblCellMar>
    </w:tblPr>
  </w:style>
  <w:style w:type="table" w:styleId="a9" w:customStyle="1">
    <w:basedOn w:val="TableNormal5"/>
    <w:tblPr>
      <w:tblStyleRowBandSize w:val="1"/>
      <w:tblStyleColBandSize w:val="1"/>
      <w:tblCellMar>
        <w:left w:w="22.0" w:type="dxa"/>
        <w:right w:w="22.0" w:type="dxa"/>
      </w:tblCellMar>
    </w:tblPr>
  </w:style>
  <w:style w:type="table" w:styleId="aa" w:customStyle="1">
    <w:basedOn w:val="TableNormal5"/>
    <w:tblPr>
      <w:tblStyleRowBandSize w:val="1"/>
      <w:tblStyleColBandSize w:val="1"/>
      <w:tblCellMar>
        <w:left w:w="115.0" w:type="dxa"/>
        <w:right w:w="115.0" w:type="dxa"/>
      </w:tblCellMar>
    </w:tblPr>
  </w:style>
  <w:style w:type="table" w:styleId="ab" w:customStyle="1">
    <w:basedOn w:val="TableNormal5"/>
    <w:tblPr>
      <w:tblStyleRowBandSize w:val="1"/>
      <w:tblStyleColBandSize w:val="1"/>
      <w:tblCellMar>
        <w:left w:w="22.0" w:type="dxa"/>
        <w:right w:w="22.0" w:type="dxa"/>
      </w:tblCellMar>
    </w:tblPr>
  </w:style>
  <w:style w:type="table" w:styleId="ac" w:customStyle="1">
    <w:basedOn w:val="TableNormal5"/>
    <w:tblPr>
      <w:tblStyleRowBandSize w:val="1"/>
      <w:tblStyleColBandSize w:val="1"/>
      <w:tblCellMar>
        <w:left w:w="115.0" w:type="dxa"/>
        <w:right w:w="115.0" w:type="dxa"/>
      </w:tblCellMar>
    </w:tblPr>
  </w:style>
  <w:style w:type="character" w:styleId="Hipervnculo">
    <w:name w:val="Hyperlink"/>
    <w:basedOn w:val="Fuentedeprrafopredeter"/>
    <w:uiPriority w:val="99"/>
    <w:unhideWhenUsed w:val="1"/>
    <w:rsid w:val="00EA18B6"/>
    <w:rPr>
      <w:color w:val="0563c1" w:themeColor="hyperlink"/>
      <w:u w:val="single"/>
    </w:rPr>
  </w:style>
  <w:style w:type="character" w:styleId="Mencinsinresolver">
    <w:name w:val="Unresolved Mention"/>
    <w:basedOn w:val="Fuentedeprrafopredeter"/>
    <w:uiPriority w:val="99"/>
    <w:semiHidden w:val="1"/>
    <w:unhideWhenUsed w:val="1"/>
    <w:rsid w:val="00EA18B6"/>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4wHXTFYx_LobmN79w2lcKAE9t9koQnOo?usp=drive_link"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pprBZ/wWKdwdovJUA5bGLwXt2Q==">CgMxLjAyDmguNWV4djM1Z2d1OTN6OAByITFWQW5rNTFEOExTYnlvV0h6al9WdS1IODROOE5FRFJ5dA==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2025-12-06T17:00:00Z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